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О бюджете города Нефтеюганска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на 20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год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плановый период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годов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Принято Думой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 декабря 2024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Список изменяющих документов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776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             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№836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оссийской Федерации, Федеральным законом от 20.03.2025 №33-ФЗ «Об общих принципах организации местного самоуправления в единой системе публичной власти», Положением о бюджетном устройстве и бюджетном процессе в городе Нефтеюганске, утверждённым решением Думы города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Нефтеюганска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25.09.2013 №633-V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руководствуясь Уставом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 Нефтеюганска,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бюджет города)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4 638 672 382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    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17 111 904 604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2 473 232 222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города на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в объёме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лей.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521 513 000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477 340 000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243 857 909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12 774 578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в том числе условно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утвержденные расходы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рублей и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        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722 344 909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535 434 578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0 рублей,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255 519 883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по муниципальным гарантиям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объёме 0 рублей, на  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доходов бюджета города по показателям классификации доходов: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1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источники финансирования дефицита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разделам, подразделам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</w:t>
      </w:r>
      <w:r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93 657 473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8 748 872 781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рубль 11 копеек;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507 323 000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278 112 300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399 512 970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12. Утвердить в составе расходов бюджета города Нефтеюганска бюджетные ассигнования,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иным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бразом зарезервированные,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128 903 268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173 571 735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69 520 735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на: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43 114 669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20 000 000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545 265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ниципальной собственности в 2025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85 243 334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57 520 735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892 386 799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</w:t>
      </w:r>
      <w:r>
        <w:rPr>
          <w:rFonts w:ascii="Times New Roman" w:hAnsi="Times New Roman" w:cs="Times New Roman"/>
          <w:sz w:val="27"/>
          <w:szCs w:val="27"/>
        </w:rPr>
        <w:t xml:space="preserve">ей</w:t>
      </w:r>
      <w:r>
        <w:rPr>
          <w:rFonts w:ascii="Times New Roman" w:hAnsi="Times New Roman" w:cs="Times New Roman"/>
          <w:sz w:val="27"/>
          <w:szCs w:val="27"/>
        </w:rPr>
        <w:t xml:space="preserve">;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615 883 630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501</w:t>
      </w:r>
      <w:r>
        <w:rPr>
          <w:rFonts w:ascii="Times New Roman" w:hAnsi="Times New Roman" w:cs="Times New Roman"/>
          <w:sz w:val="27"/>
          <w:szCs w:val="27"/>
        </w:rPr>
        <w:t xml:space="preserve"> 125 151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>
        <w:rPr>
          <w:rFonts w:ascii="Times New Roman" w:hAnsi="Times New Roman" w:cs="Times New Roman"/>
          <w:sz w:val="27"/>
          <w:szCs w:val="27"/>
        </w:rPr>
        <w:t xml:space="preserve"> Думы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531 939 145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435 173 540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32</w:t>
      </w:r>
      <w:r>
        <w:rPr>
          <w:rFonts w:ascii="Times New Roman" w:hAnsi="Times New Roman" w:cs="Times New Roman"/>
          <w:sz w:val="27"/>
          <w:szCs w:val="27"/>
        </w:rPr>
        <w:t xml:space="preserve">3 475 881</w:t>
      </w:r>
      <w:r>
        <w:rPr>
          <w:rFonts w:ascii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hAnsi="Times New Roman" w:cs="Times New Roman"/>
          <w:sz w:val="27"/>
          <w:szCs w:val="27"/>
        </w:rPr>
        <w:t xml:space="preserve">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Установить, </w:t>
      </w:r>
      <w:r>
        <w:rPr>
          <w:rFonts w:ascii="Times New Roman" w:hAnsi="Times New Roman" w:eastAsia="Calibri" w:cs="Times New Roman"/>
          <w:sz w:val="27"/>
          <w:szCs w:val="27"/>
        </w:rPr>
        <w:t xml:space="preserve">что расходование средств, а именно</w:t>
      </w:r>
      <w:r>
        <w:rPr>
          <w:rFonts w:ascii="Times New Roman" w:hAnsi="Times New Roman" w:eastAsia="Calibri" w:cs="Times New Roman"/>
          <w:sz w:val="27"/>
          <w:szCs w:val="27"/>
        </w:rPr>
        <w:t xml:space="preserve">: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платы за негативное воздействие на окружающую среду,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суммы штраф</w:t>
      </w:r>
      <w:r>
        <w:rPr>
          <w:rFonts w:ascii="Times New Roman" w:hAnsi="Times New Roman" w:eastAsia="Calibri" w:cs="Times New Roman"/>
          <w:sz w:val="27"/>
          <w:szCs w:val="27"/>
        </w:rPr>
        <w:t xml:space="preserve">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автономного округа – Югры за административные правонарушения в области охраны окружающей среды и природопользования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средств от п</w:t>
      </w:r>
      <w:r>
        <w:rPr>
          <w:rFonts w:ascii="Times New Roman" w:hAnsi="Times New Roman" w:eastAsia="Calibri" w:cs="Times New Roman"/>
          <w:sz w:val="27"/>
          <w:szCs w:val="27"/>
        </w:rPr>
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1</w:t>
      </w:r>
      <w:r>
        <w:rPr>
          <w:rFonts w:ascii="Times New Roman" w:hAnsi="Times New Roman" w:eastAsia="Calibri" w:cs="Times New Roman"/>
          <w:sz w:val="27"/>
          <w:szCs w:val="27"/>
        </w:rPr>
        <w:t xml:space="preserve">5</w:t>
      </w:r>
      <w:r>
        <w:rPr>
          <w:rFonts w:ascii="Times New Roman" w:hAnsi="Times New Roman" w:eastAsia="Calibri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если иное не предусмотрено нормативными правовыми актами Правительства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возмещение затрат субъектам малого и среднего предпринимательства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развитие социального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предпринимательства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по откачке и вывозу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7)на возмещение затрат сельхозтоваропроизводителям (за исключением личных подсобных хозяйств) на поддержку растениеводства;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хоз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товаропроизводителям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поддержку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животноводства;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нск, 7 микрорайон (станция ВОС);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13)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14)на финансовое обеспечение затрат АО «Югансктранстеплосервис»,      АО «Ю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/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ных в пункте 2.1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следующих случаях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12" w:tooltip="https://login.consultant.ru/link/?req=doc&amp;base=RLAW926&amp;n=312293&amp;dst=133516" w:history="1">
        <w:r>
          <w:rPr>
            <w:rFonts w:ascii="Times New Roman" w:hAnsi="Times New Roman" w:eastAsia="Times New Roman" w:cs="Times New Roman"/>
            <w:sz w:val="27"/>
            <w:szCs w:val="27"/>
            <w:lang w:eastAsia="ru-RU"/>
          </w:rPr>
          <w:t xml:space="preserve">приложении 14</w:t>
        </w:r>
      </w:hyperlink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постановлению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предоставление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астны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финансово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реализацию социально значимых проектов социально ориентированны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осуществляющи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6)на реализацию социально значимых проектов социально ориентированным некоммерческим организациям,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государственными (муниципальными)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сфере культуры;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7</w:t>
      </w:r>
      <w:r>
        <w:rPr>
          <w:rFonts w:ascii="Times New Roman" w:hAnsi="Times New Roman" w:eastAsia="Calibri" w:cs="Times New Roman"/>
          <w:sz w:val="27"/>
          <w:szCs w:val="27"/>
        </w:rPr>
        <w:t xml:space="preserve"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rFonts w:ascii="Times New Roman" w:hAnsi="Times New Roman" w:eastAsia="Calibri" w:cs="Times New Roman"/>
          <w:sz w:val="27"/>
          <w:szCs w:val="27"/>
        </w:rPr>
        <w:t xml:space="preserve">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порядке, установленном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(акты уполномоченных ею органов местного самоуправления)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должны соответствовать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требованиям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стать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том чис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администрирование переданного отдельного государственного полномочия по предоставлению компенсации части родительской платы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присмотр и уход за детьми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7)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 xml:space="preserve">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10)</w:t>
      </w:r>
      <w:r>
        <w:rPr>
          <w:rFonts w:ascii="Times New Roman" w:hAnsi="Times New Roman" w:cs="Times New Roman"/>
          <w:sz w:val="27"/>
          <w:szCs w:val="27"/>
        </w:rPr>
        <w:t xml:space="preserve">на реализацию инициативных проектов (в 2025 году).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Субсидия из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13.07.2020 №189-ФЗ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внутренних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заимствований города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Установить, что органы местного самоуправления муниципального образования город Нефтеюганск</w:t>
      </w:r>
      <w: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</w:t>
      </w:r>
      <w:r>
        <w:rPr>
          <w:rFonts w:ascii="Times New Roman" w:hAnsi="Times New Roman" w:cs="Times New Roman"/>
          <w:sz w:val="27"/>
          <w:szCs w:val="27"/>
        </w:rPr>
        <w:t xml:space="preserve">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>
        <w:rPr>
          <w:rFonts w:ascii="Times New Roman" w:hAnsi="Times New Roman" w:cs="Times New Roman"/>
          <w:sz w:val="27"/>
          <w:szCs w:val="27"/>
        </w:rPr>
        <w:t xml:space="preserve">–</w:t>
      </w:r>
      <w:r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>
        <w:rPr>
          <w:rFonts w:ascii="Times New Roman" w:hAnsi="Times New Roman" w:cs="Times New Roman"/>
          <w:sz w:val="27"/>
          <w:szCs w:val="27"/>
        </w:rPr>
        <w:t xml:space="preserve">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Нефтеюганск, по вводу (приобретению) новых объектов капитального строительства)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>
        <w:rPr>
          <w:rFonts w:ascii="Times New Roman" w:hAnsi="Times New Roman" w:eastAsia="Times New Roman" w:cs="Times New Roman"/>
          <w:sz w:val="27"/>
          <w:szCs w:val="27"/>
          <w:vertAlign w:val="super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Положения о бюджетном устройстве и бюджетном процессе в городе Нефтеюганске, утвержденном решением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633-V.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пунктом 8 статьи 217 Бюджетного кодекса Российской Федерации, пунктом 2 статьи 121 реше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бюджетных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автономных учреждений, созданных на базе имущества, находящегося в собственности муниципального образования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производится на лицевых счетах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открываемых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департаменте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установленном им порядке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получателей средств из бюджета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источником финансового обеспечения которых являются субсидии, представленные из бюджета города, производится на ли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цевых счетах, открываемых им в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епартаменте финансов в установленном им порядке.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Положение абзаца первого настоящего пункта не распространяется на субсидии, предоставляемые: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социально ориентированным некоммерческим организациям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 Установить, что в 2025 году департамент финансов осуществляет казначейское сопровождение средств, указанных в пункте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 настоящего решения, предоставляемых из бюджета города.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.1. Казначейскому сопровождению подлежат: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полнении работ, оказании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авансовые платежи по контрактам (договорам, соглашениям) о поставке товаров, выполнен</w:t>
      </w:r>
      <w:r>
        <w:rPr>
          <w:rFonts w:ascii="Times New Roman" w:hAnsi="Times New Roman" w:eastAsia="Calibri" w:cs="Times New Roman"/>
          <w:sz w:val="27"/>
          <w:szCs w:val="27"/>
        </w:rPr>
        <w:t xml:space="preserve">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</w:t>
      </w:r>
      <w:r>
        <w:rPr>
          <w:rFonts w:ascii="Times New Roman" w:hAnsi="Times New Roman" w:eastAsia="Calibri" w:cs="Times New Roman"/>
          <w:sz w:val="27"/>
          <w:szCs w:val="27"/>
        </w:rPr>
        <w:t xml:space="preserve">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</w:t>
      </w:r>
      <w: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города, указанные в подпункте 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вклады), указанные в подпункте 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пункта, на сумму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более 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000,0 тыс.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иные средства, определенные администрацией города Нефтеюганска;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средства, полу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1_908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.2.</w:t>
      </w:r>
      <w:r>
        <w:rPr>
          <w:color w:val="000000"/>
          <w:sz w:val="28"/>
          <w:szCs w:val="28"/>
          <w:highlight w:val="white"/>
        </w:rPr>
        <w:t xml:space="preserve">Установить, что в 2025 году при казначейском сопровождении средств, предоставляемых на основании контрактов (договоров), определенных пунктом 25.1 настоящего решения, перечисление средств по таким контрактам (договорам) осуществляется в установленном </w:t>
      </w:r>
      <w:r>
        <w:rPr>
          <w:sz w:val="28"/>
          <w:szCs w:val="28"/>
          <w:highlight w:val="white"/>
        </w:rPr>
        <w:t xml:space="preserve">Правительством Российской Федерации порядке с лицевых счетов уч</w:t>
      </w:r>
      <w:r>
        <w:rPr>
          <w:color w:val="000000"/>
          <w:sz w:val="28"/>
          <w:szCs w:val="28"/>
          <w:highlight w:val="white"/>
        </w:rPr>
        <w:t xml:space="preserve">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  <w:r/>
      <w:r>
        <w:rPr>
          <w:highlight w:val="white"/>
        </w:rPr>
      </w:r>
    </w:p>
    <w:p>
      <w:pPr>
        <w:pStyle w:val="1_909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1_909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авансовых платежей </w:t>
      </w:r>
      <w:r>
        <w:rPr>
          <w:sz w:val="28"/>
          <w:szCs w:val="28"/>
          <w:highlight w:val="white"/>
        </w:rPr>
        <w:t xml:space="preserve">по контрактам (договорам), заключаемым в целях приобретения строи</w:t>
      </w:r>
      <w:r>
        <w:rPr>
          <w:sz w:val="28"/>
          <w:szCs w:val="28"/>
          <w:highlight w:val="white"/>
        </w:rPr>
        <w:t xml:space="preserve">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</w:t>
      </w:r>
      <w:r>
        <w:rPr>
          <w:sz w:val="28"/>
          <w:szCs w:val="28"/>
          <w:highlight w:val="white"/>
        </w:rPr>
        <w:t xml:space="preserve">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</w:t>
      </w:r>
      <w:r>
        <w:rPr>
          <w:color w:val="000000"/>
          <w:sz w:val="28"/>
          <w:szCs w:val="28"/>
          <w:highlight w:val="white"/>
        </w:rPr>
        <w:t xml:space="preserve">в порядке и по форме, которые установлены Правительством 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1_909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  <w14:ligatures w14:val="none"/>
        </w:rPr>
      </w:pPr>
      <w:r>
        <w:rPr>
          <w:color w:val="000000"/>
          <w:sz w:val="28"/>
          <w:szCs w:val="28"/>
          <w:highlight w:val="white"/>
        </w:rPr>
        <w:t xml:space="preserve">в целях выполнения работ, оказания </w:t>
      </w:r>
      <w:r>
        <w:rPr>
          <w:color w:val="000000"/>
          <w:sz w:val="28"/>
          <w:szCs w:val="28"/>
          <w:highlight w:val="white"/>
        </w:rPr>
        <w:t xml:space="preserve">услуг в рамках исполнения муниципальных контрактов, контрактов (договоров)</w:t>
      </w:r>
      <w:r>
        <w:rPr>
          <w:color w:val="000000"/>
          <w:sz w:val="28"/>
          <w:szCs w:val="28"/>
          <w:highlight w:val="white"/>
        </w:rPr>
        <w:t xml:space="preserve">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</w:t>
      </w:r>
      <w:r>
        <w:rPr>
          <w:color w:val="000000"/>
          <w:sz w:val="28"/>
          <w:szCs w:val="28"/>
          <w:highlight w:val="white"/>
        </w:rPr>
        <w:t xml:space="preserve">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</w:t>
      </w:r>
      <w:bookmarkStart w:id="1" w:name="undefined"/>
      <w:r>
        <w:rPr>
          <w:color w:val="000000"/>
          <w:sz w:val="28"/>
          <w:szCs w:val="28"/>
          <w:highlight w:val="white"/>
        </w:rPr>
      </w:r>
      <w:bookmarkEnd w:id="1"/>
      <w:r>
        <w:rPr>
          <w:color w:val="000000"/>
          <w:sz w:val="28"/>
          <w:szCs w:val="28"/>
          <w:highlight w:val="white"/>
        </w:rPr>
        <w:t xml:space="preserve">Федерации.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>
        <w:rPr>
          <w:rFonts w:ascii="Times New Roman" w:hAnsi="Times New Roman" w:cs="Times New Roman"/>
          <w:sz w:val="27"/>
          <w:szCs w:val="27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Решение вступает в силу с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В.Чекунов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декабря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2"/>
    <w:next w:val="852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2"/>
    <w:next w:val="852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3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3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3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2"/>
    <w:next w:val="852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3"/>
    <w:link w:val="697"/>
    <w:uiPriority w:val="10"/>
    <w:rPr>
      <w:sz w:val="48"/>
      <w:szCs w:val="48"/>
    </w:rPr>
  </w:style>
  <w:style w:type="paragraph" w:styleId="699">
    <w:name w:val="Subtitle"/>
    <w:basedOn w:val="852"/>
    <w:next w:val="852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3"/>
    <w:link w:val="699"/>
    <w:uiPriority w:val="11"/>
    <w:rPr>
      <w:sz w:val="24"/>
      <w:szCs w:val="24"/>
    </w:rPr>
  </w:style>
  <w:style w:type="paragraph" w:styleId="701">
    <w:name w:val="Quote"/>
    <w:basedOn w:val="852"/>
    <w:next w:val="852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2"/>
    <w:next w:val="852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3"/>
    <w:link w:val="857"/>
    <w:uiPriority w:val="99"/>
  </w:style>
  <w:style w:type="character" w:styleId="706">
    <w:name w:val="Footer Char"/>
    <w:basedOn w:val="853"/>
    <w:link w:val="859"/>
    <w:uiPriority w:val="99"/>
  </w:style>
  <w:style w:type="paragraph" w:styleId="707">
    <w:name w:val="Caption"/>
    <w:basedOn w:val="852"/>
    <w:next w:val="852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3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3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3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Всегда"/>
    <w:basedOn w:val="852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57">
    <w:name w:val="Header"/>
    <w:basedOn w:val="852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53"/>
    <w:link w:val="857"/>
    <w:uiPriority w:val="99"/>
  </w:style>
  <w:style w:type="paragraph" w:styleId="859">
    <w:name w:val="Footer"/>
    <w:basedOn w:val="852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53"/>
    <w:link w:val="859"/>
    <w:uiPriority w:val="99"/>
  </w:style>
  <w:style w:type="paragraph" w:styleId="861" w:customStyle="1">
    <w:name w:val="Body Text 21"/>
    <w:basedOn w:val="852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2">
    <w:name w:val="List Paragraph"/>
    <w:basedOn w:val="852"/>
    <w:uiPriority w:val="34"/>
    <w:qFormat/>
    <w:pPr>
      <w:contextualSpacing/>
      <w:ind w:left="720"/>
    </w:pPr>
  </w:style>
  <w:style w:type="paragraph" w:styleId="863">
    <w:name w:val="Balloon Text"/>
    <w:basedOn w:val="852"/>
    <w:link w:val="86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4" w:customStyle="1">
    <w:name w:val="Текст выноски Знак"/>
    <w:basedOn w:val="853"/>
    <w:link w:val="863"/>
    <w:uiPriority w:val="99"/>
    <w:semiHidden/>
    <w:rPr>
      <w:rFonts w:ascii="Tahoma" w:hAnsi="Tahoma" w:cs="Tahoma"/>
      <w:sz w:val="16"/>
      <w:szCs w:val="16"/>
    </w:rPr>
  </w:style>
  <w:style w:type="character" w:styleId="865">
    <w:name w:val="Hyperlink"/>
    <w:basedOn w:val="853"/>
    <w:uiPriority w:val="99"/>
    <w:semiHidden/>
    <w:unhideWhenUsed/>
    <w:rPr>
      <w:color w:val="0000ff" w:themeColor="hyperlink"/>
      <w:u w:val="single"/>
    </w:rPr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67" w:customStyle="1">
    <w:name w:val="Основной текст 21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 w:customStyle="1">
    <w:name w:val="Основной текст 22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_908" w:customStyle="1">
    <w:name w:val="docdata"/>
    <w:basedOn w:val="677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909" w:customStyle="1">
    <w:name w:val="Обычный (веб)1"/>
    <w:basedOn w:val="677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https://login.consultant.ru/link/?req=doc&amp;base=RLAW926&amp;n=312293&amp;dst=133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54FC-C858-4625-8991-EF2E361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471</cp:revision>
  <dcterms:created xsi:type="dcterms:W3CDTF">2019-01-30T05:23:00Z</dcterms:created>
  <dcterms:modified xsi:type="dcterms:W3CDTF">2025-09-25T09:46:54Z</dcterms:modified>
</cp:coreProperties>
</file>